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A0" w:rsidRPr="00363403" w:rsidRDefault="006400A0" w:rsidP="006400A0">
      <w:pPr>
        <w:pStyle w:val="NormalWeb"/>
        <w:spacing w:before="0" w:beforeAutospacing="0" w:after="0" w:afterAutospacing="0"/>
        <w:rPr>
          <w:sz w:val="26"/>
          <w:szCs w:val="26"/>
        </w:rPr>
      </w:pPr>
      <w:r w:rsidRPr="00363403">
        <w:rPr>
          <w:sz w:val="26"/>
          <w:szCs w:val="26"/>
        </w:rPr>
        <w:t xml:space="preserve">LĐLĐ XUYÊN  MỘC                               </w:t>
      </w:r>
      <w:r w:rsidRPr="00363403">
        <w:rPr>
          <w:rStyle w:val="Strong"/>
          <w:sz w:val="26"/>
          <w:szCs w:val="26"/>
          <w:bdr w:val="none" w:sz="0" w:space="0" w:color="auto" w:frame="1"/>
        </w:rPr>
        <w:t>CỘNG HOÀ XÃ HỘI CHỦ NGHĨA VIỆT NAM</w:t>
      </w:r>
    </w:p>
    <w:p w:rsidR="006400A0" w:rsidRPr="00363403" w:rsidRDefault="006400A0" w:rsidP="006400A0">
      <w:pPr>
        <w:pStyle w:val="NormalWeb"/>
        <w:spacing w:before="0" w:beforeAutospacing="0" w:after="0" w:afterAutospacing="0"/>
        <w:rPr>
          <w:sz w:val="26"/>
          <w:szCs w:val="26"/>
        </w:rPr>
      </w:pPr>
      <w:r w:rsidRPr="00363403">
        <w:rPr>
          <w:rStyle w:val="Strong"/>
          <w:sz w:val="26"/>
          <w:szCs w:val="26"/>
          <w:bdr w:val="none" w:sz="0" w:space="0" w:color="auto" w:frame="1"/>
        </w:rPr>
        <w:t>CĐCS -THCS BƯNG RIỀNG                                Độc lập - Tự do - Hạnh phúc</w:t>
      </w:r>
    </w:p>
    <w:p w:rsidR="006400A0" w:rsidRPr="00363403" w:rsidRDefault="006400A0" w:rsidP="006400A0">
      <w:pPr>
        <w:pStyle w:val="NormalWeb"/>
        <w:spacing w:before="0" w:beforeAutospacing="0" w:after="0" w:afterAutospacing="0"/>
        <w:rPr>
          <w:sz w:val="26"/>
          <w:szCs w:val="26"/>
        </w:rPr>
      </w:pPr>
    </w:p>
    <w:p w:rsidR="006400A0" w:rsidRPr="00363403" w:rsidRDefault="006400A0" w:rsidP="006400A0">
      <w:r w:rsidRPr="00363403">
        <w:t>Số: …/QC-</w:t>
      </w:r>
      <w:r w:rsidRPr="00DC14FD">
        <w:t xml:space="preserve">CĐCS                                              </w:t>
      </w:r>
      <w:r>
        <w:t xml:space="preserve">          </w:t>
      </w:r>
      <w:r w:rsidRPr="00DC14FD">
        <w:t xml:space="preserve">    Bưng Riềng, ngày 20 tháng 10 năm 2018</w:t>
      </w:r>
      <w:r w:rsidRPr="00363403">
        <w:t xml:space="preserve">                                  </w:t>
      </w:r>
    </w:p>
    <w:p w:rsidR="006400A0" w:rsidRPr="00363403" w:rsidRDefault="006400A0" w:rsidP="006400A0">
      <w:pPr>
        <w:pStyle w:val="NormalWeb"/>
        <w:spacing w:before="0" w:beforeAutospacing="0" w:after="0" w:afterAutospacing="0"/>
        <w:rPr>
          <w:sz w:val="26"/>
          <w:szCs w:val="26"/>
        </w:rPr>
      </w:pPr>
      <w:r w:rsidRPr="00363403">
        <w:rPr>
          <w:sz w:val="26"/>
          <w:szCs w:val="26"/>
        </w:rPr>
        <w:t xml:space="preserve">                                                 </w:t>
      </w:r>
    </w:p>
    <w:p w:rsidR="006400A0" w:rsidRPr="00DC14FD" w:rsidRDefault="006400A0" w:rsidP="006400A0">
      <w:pPr>
        <w:pStyle w:val="noidungtin"/>
        <w:spacing w:before="0" w:beforeAutospacing="0" w:after="0" w:afterAutospacing="0" w:line="270" w:lineRule="atLeast"/>
        <w:jc w:val="both"/>
        <w:rPr>
          <w:b/>
          <w:sz w:val="30"/>
          <w:szCs w:val="26"/>
        </w:rPr>
      </w:pPr>
      <w:r w:rsidRPr="00363403">
        <w:rPr>
          <w:sz w:val="26"/>
          <w:szCs w:val="26"/>
        </w:rPr>
        <w:t xml:space="preserve">                                                                   </w:t>
      </w:r>
    </w:p>
    <w:p w:rsidR="006400A0" w:rsidRPr="00DC14FD" w:rsidRDefault="006400A0" w:rsidP="006400A0">
      <w:pPr>
        <w:pStyle w:val="noidungtin"/>
        <w:spacing w:before="0" w:beforeAutospacing="0" w:after="0" w:afterAutospacing="0" w:line="270" w:lineRule="atLeast"/>
        <w:jc w:val="center"/>
        <w:rPr>
          <w:b/>
          <w:sz w:val="30"/>
          <w:szCs w:val="26"/>
        </w:rPr>
      </w:pPr>
      <w:r w:rsidRPr="00DC14FD">
        <w:rPr>
          <w:b/>
          <w:sz w:val="30"/>
          <w:szCs w:val="26"/>
        </w:rPr>
        <w:t>QUY CHẾ</w:t>
      </w:r>
    </w:p>
    <w:p w:rsidR="006400A0" w:rsidRPr="00DC14FD" w:rsidRDefault="006400A0" w:rsidP="006400A0">
      <w:pPr>
        <w:pStyle w:val="noidungtin"/>
        <w:spacing w:before="0" w:beforeAutospacing="0" w:after="0" w:afterAutospacing="0" w:line="270" w:lineRule="atLeast"/>
        <w:jc w:val="center"/>
        <w:rPr>
          <w:b/>
          <w:sz w:val="30"/>
          <w:szCs w:val="26"/>
        </w:rPr>
      </w:pPr>
      <w:r w:rsidRPr="00DC14FD">
        <w:rPr>
          <w:b/>
          <w:sz w:val="30"/>
          <w:szCs w:val="26"/>
        </w:rPr>
        <w:t>HOẠT ĐỘNG CỦA BAN NỮ CÔNG</w:t>
      </w:r>
    </w:p>
    <w:p w:rsidR="006400A0" w:rsidRPr="00DC14FD" w:rsidRDefault="006400A0" w:rsidP="006400A0">
      <w:pPr>
        <w:jc w:val="center"/>
        <w:rPr>
          <w:b/>
          <w:sz w:val="28"/>
        </w:rPr>
      </w:pPr>
      <w:r w:rsidRPr="00DC14FD">
        <w:rPr>
          <w:b/>
          <w:sz w:val="28"/>
        </w:rPr>
        <w:t>Nhiệm kỳ: 2017 - 2022</w:t>
      </w:r>
    </w:p>
    <w:p w:rsidR="006400A0" w:rsidRPr="00363403" w:rsidRDefault="006400A0" w:rsidP="006400A0">
      <w:pPr>
        <w:pStyle w:val="noidungtin"/>
        <w:spacing w:before="0" w:beforeAutospacing="0" w:after="0" w:afterAutospacing="0" w:line="270" w:lineRule="atLeast"/>
        <w:jc w:val="both"/>
        <w:rPr>
          <w:sz w:val="26"/>
          <w:szCs w:val="26"/>
        </w:rPr>
      </w:pPr>
      <w:bookmarkStart w:id="0" w:name="_GoBack"/>
      <w:bookmarkEnd w:id="0"/>
    </w:p>
    <w:tbl>
      <w:tblPr>
        <w:tblW w:w="5000" w:type="pct"/>
        <w:tblCellMar>
          <w:left w:w="0" w:type="dxa"/>
          <w:right w:w="0" w:type="dxa"/>
        </w:tblCellMar>
        <w:tblLook w:val="04A0" w:firstRow="1" w:lastRow="0" w:firstColumn="1" w:lastColumn="0" w:noHBand="0" w:noVBand="1"/>
      </w:tblPr>
      <w:tblGrid>
        <w:gridCol w:w="4619"/>
        <w:gridCol w:w="6013"/>
      </w:tblGrid>
      <w:tr w:rsidR="006400A0" w:rsidRPr="00363403" w:rsidTr="00296B1C">
        <w:tc>
          <w:tcPr>
            <w:tcW w:w="2150" w:type="pct"/>
          </w:tcPr>
          <w:p w:rsidR="006400A0" w:rsidRPr="00363403" w:rsidRDefault="006400A0" w:rsidP="00296B1C">
            <w:pPr>
              <w:pStyle w:val="NormalWeb"/>
              <w:spacing w:before="0" w:beforeAutospacing="0" w:after="0" w:afterAutospacing="0"/>
              <w:rPr>
                <w:sz w:val="26"/>
                <w:szCs w:val="26"/>
              </w:rPr>
            </w:pPr>
          </w:p>
        </w:tc>
        <w:tc>
          <w:tcPr>
            <w:tcW w:w="2800" w:type="pct"/>
            <w:hideMark/>
          </w:tcPr>
          <w:p w:rsidR="006400A0" w:rsidRPr="00363403" w:rsidRDefault="006400A0" w:rsidP="00296B1C">
            <w:pPr>
              <w:pStyle w:val="NormalWeb"/>
              <w:spacing w:before="0" w:beforeAutospacing="0" w:after="0" w:afterAutospacing="0"/>
              <w:jc w:val="center"/>
              <w:rPr>
                <w:sz w:val="26"/>
                <w:szCs w:val="26"/>
              </w:rPr>
            </w:pPr>
            <w:r w:rsidRPr="00363403">
              <w:rPr>
                <w:sz w:val="26"/>
                <w:szCs w:val="26"/>
              </w:rPr>
              <w:t> </w:t>
            </w:r>
          </w:p>
        </w:tc>
      </w:tr>
    </w:tbl>
    <w:p w:rsidR="006400A0" w:rsidRPr="00DC14FD" w:rsidRDefault="006400A0" w:rsidP="006400A0">
      <w:pPr>
        <w:jc w:val="center"/>
        <w:rPr>
          <w:sz w:val="26"/>
          <w:szCs w:val="26"/>
        </w:rPr>
      </w:pPr>
      <w:r w:rsidRPr="00DC14FD">
        <w:rPr>
          <w:sz w:val="26"/>
          <w:szCs w:val="26"/>
        </w:rPr>
        <w:t>Chương I</w:t>
      </w:r>
    </w:p>
    <w:p w:rsidR="006400A0" w:rsidRPr="00DC14FD" w:rsidRDefault="006400A0" w:rsidP="006400A0">
      <w:pPr>
        <w:jc w:val="center"/>
        <w:rPr>
          <w:sz w:val="26"/>
          <w:szCs w:val="26"/>
        </w:rPr>
      </w:pPr>
      <w:r w:rsidRPr="00DC14FD">
        <w:rPr>
          <w:sz w:val="26"/>
          <w:szCs w:val="26"/>
        </w:rPr>
        <w:t>TRÁCH NHIỆM  VÀ QUYỀN HẠN CỦA BAN NỮ  CÔNG</w:t>
      </w:r>
    </w:p>
    <w:p w:rsidR="006400A0" w:rsidRPr="00DC14FD" w:rsidRDefault="006400A0" w:rsidP="006400A0">
      <w:pPr>
        <w:rPr>
          <w:sz w:val="26"/>
          <w:szCs w:val="26"/>
        </w:rPr>
      </w:pPr>
      <w:r w:rsidRPr="00DC14FD">
        <w:rPr>
          <w:sz w:val="26"/>
          <w:szCs w:val="26"/>
        </w:rPr>
        <w:t> </w:t>
      </w:r>
    </w:p>
    <w:p w:rsidR="006400A0" w:rsidRPr="00DC14FD" w:rsidRDefault="006400A0" w:rsidP="006400A0">
      <w:pPr>
        <w:spacing w:before="120" w:after="120"/>
        <w:rPr>
          <w:sz w:val="26"/>
          <w:szCs w:val="26"/>
        </w:rPr>
      </w:pPr>
      <w:r w:rsidRPr="00DC14FD">
        <w:rPr>
          <w:sz w:val="26"/>
          <w:szCs w:val="26"/>
        </w:rPr>
        <w:t>     Điều 1: Ban nữ công có trách nhiệm nghiên cứu, xây dựng nội dung, chương trình, kế hoạch công tác vận động nữ CB, GV, NV trình BCH Công đoàn; Tổ chức triển khai chương trình, kế hoạch công tác đã được BCH Công đoàn thông qua.</w:t>
      </w:r>
    </w:p>
    <w:p w:rsidR="006400A0" w:rsidRPr="00DC14FD" w:rsidRDefault="006400A0" w:rsidP="006400A0">
      <w:pPr>
        <w:spacing w:before="120" w:after="120"/>
        <w:rPr>
          <w:sz w:val="26"/>
          <w:szCs w:val="26"/>
        </w:rPr>
      </w:pPr>
      <w:r w:rsidRPr="00DC14FD">
        <w:rPr>
          <w:sz w:val="26"/>
          <w:szCs w:val="26"/>
        </w:rPr>
        <w:t>     Điều 2: Ban nữ công có trách nhiệm theo dõi, giám sát việc thực hiện các chế độ chính sách đối với nữ CB, GV, NV trong nhà trường.</w:t>
      </w:r>
    </w:p>
    <w:p w:rsidR="006400A0" w:rsidRPr="00DC14FD" w:rsidRDefault="006400A0" w:rsidP="006400A0">
      <w:pPr>
        <w:spacing w:before="120" w:after="120"/>
        <w:rPr>
          <w:sz w:val="26"/>
          <w:szCs w:val="26"/>
        </w:rPr>
      </w:pPr>
      <w:r w:rsidRPr="00DC14FD">
        <w:rPr>
          <w:sz w:val="26"/>
          <w:szCs w:val="26"/>
        </w:rPr>
        <w:t>     Điều 3: Nắm tâm tư, nguyện vọng của nữ CB, GV, NV để đề xuất kiến nghị kịp thời lên BCH Công đoàn và BGH nhà trường có biện pháp giải quyết, nhằm chăm lo, bảo vệ kịp thời quyền và lợi ích hợp pháp của nữ CB, GV, NV.</w:t>
      </w:r>
    </w:p>
    <w:p w:rsidR="006400A0" w:rsidRPr="00DC14FD" w:rsidRDefault="006400A0" w:rsidP="006400A0">
      <w:pPr>
        <w:spacing w:before="120" w:after="120"/>
        <w:rPr>
          <w:sz w:val="26"/>
          <w:szCs w:val="26"/>
        </w:rPr>
      </w:pPr>
      <w:r w:rsidRPr="00DC14FD">
        <w:rPr>
          <w:sz w:val="26"/>
          <w:szCs w:val="26"/>
        </w:rPr>
        <w:t>     Điều 4: Trực tiếp hướng dẫn nữ CB, GV, NV hoạt động theo đúng chức năng và nhiệm vụ của Ban nữ công. Có trách nhiệm cùng BCH Công đoàn tổ chức hướng dẫn chỉ đạo đoàn viên nữ trong nhà trường thực hiện có hiệu quả các nghị quyết, chủ trương, chính sách của Đảng, Nhà nước, Công đoàn và Nhà trường.</w:t>
      </w:r>
    </w:p>
    <w:p w:rsidR="006400A0" w:rsidRPr="00DC14FD" w:rsidRDefault="006400A0" w:rsidP="006400A0">
      <w:pPr>
        <w:spacing w:before="120" w:after="120"/>
        <w:rPr>
          <w:sz w:val="26"/>
          <w:szCs w:val="26"/>
        </w:rPr>
      </w:pPr>
      <w:r w:rsidRPr="00DC14FD">
        <w:rPr>
          <w:sz w:val="26"/>
          <w:szCs w:val="26"/>
        </w:rPr>
        <w:t>    Điều 5: Tổ chức sơ kết, tổng kết hoạt động công tác nữ công theo quy định.</w:t>
      </w:r>
    </w:p>
    <w:p w:rsidR="006400A0" w:rsidRPr="00DC14FD" w:rsidRDefault="006400A0" w:rsidP="006400A0">
      <w:pPr>
        <w:spacing w:before="120" w:after="120"/>
        <w:rPr>
          <w:sz w:val="26"/>
          <w:szCs w:val="26"/>
        </w:rPr>
      </w:pPr>
      <w:r w:rsidRPr="00DC14FD">
        <w:rPr>
          <w:sz w:val="26"/>
          <w:szCs w:val="26"/>
        </w:rPr>
        <w:t>    Điều 6: Được tham dự các buổi họp do Ban nữ công cấp trên tổ chức.</w:t>
      </w:r>
    </w:p>
    <w:p w:rsidR="006400A0" w:rsidRPr="00DC14FD" w:rsidRDefault="006400A0" w:rsidP="006400A0">
      <w:pPr>
        <w:spacing w:before="120" w:after="120"/>
        <w:rPr>
          <w:sz w:val="26"/>
          <w:szCs w:val="26"/>
        </w:rPr>
      </w:pPr>
      <w:r w:rsidRPr="00DC14FD">
        <w:rPr>
          <w:sz w:val="26"/>
          <w:szCs w:val="26"/>
        </w:rPr>
        <w:t>    Điều 7: Được thay mặt BCH Công đoàn làm việc với chuyên môn nhà trường để giải quyết các vấn đề có liên quan đến nữ CB, GV, NV  và trẻ em.</w:t>
      </w:r>
    </w:p>
    <w:p w:rsidR="006400A0" w:rsidRPr="00DC14FD" w:rsidRDefault="006400A0" w:rsidP="006400A0">
      <w:r w:rsidRPr="00DC14FD">
        <w:t> </w:t>
      </w:r>
    </w:p>
    <w:p w:rsidR="006400A0" w:rsidRPr="00DC14FD" w:rsidRDefault="006400A0" w:rsidP="006400A0">
      <w:pPr>
        <w:spacing w:before="120" w:after="120"/>
        <w:jc w:val="center"/>
        <w:rPr>
          <w:b/>
          <w:sz w:val="28"/>
          <w:szCs w:val="26"/>
        </w:rPr>
      </w:pPr>
      <w:r w:rsidRPr="00DC14FD">
        <w:rPr>
          <w:b/>
          <w:sz w:val="28"/>
          <w:szCs w:val="26"/>
        </w:rPr>
        <w:t>Chương II</w:t>
      </w:r>
    </w:p>
    <w:p w:rsidR="006400A0" w:rsidRPr="00DC14FD" w:rsidRDefault="006400A0" w:rsidP="006400A0">
      <w:pPr>
        <w:spacing w:before="120" w:after="120"/>
        <w:jc w:val="center"/>
        <w:rPr>
          <w:b/>
          <w:sz w:val="28"/>
          <w:szCs w:val="26"/>
        </w:rPr>
      </w:pPr>
      <w:r w:rsidRPr="00DC14FD">
        <w:rPr>
          <w:b/>
          <w:sz w:val="28"/>
          <w:szCs w:val="26"/>
        </w:rPr>
        <w:t>TRÁCH NHIỆM VÀ QUYỀN HẠN CỦA UỶ VIÊN BAN NỮ CÔNG</w:t>
      </w:r>
    </w:p>
    <w:p w:rsidR="006400A0" w:rsidRPr="00DC14FD" w:rsidRDefault="006400A0" w:rsidP="006400A0">
      <w:pPr>
        <w:spacing w:before="120" w:after="120"/>
        <w:rPr>
          <w:sz w:val="26"/>
          <w:szCs w:val="26"/>
        </w:rPr>
      </w:pPr>
      <w:r w:rsidRPr="00DC14FD">
        <w:rPr>
          <w:sz w:val="26"/>
          <w:szCs w:val="26"/>
        </w:rPr>
        <w:lastRenderedPageBreak/>
        <w:t>    Điều 8: Chỉ đạo hoạt động của tổ nữ công, hoàn thành nhiệm vụ khác được phân công và chịu trách nhiệm trước BCH Công đoàn.</w:t>
      </w:r>
    </w:p>
    <w:p w:rsidR="006400A0" w:rsidRPr="00DC14FD" w:rsidRDefault="006400A0" w:rsidP="006400A0">
      <w:pPr>
        <w:spacing w:before="120" w:after="120"/>
        <w:rPr>
          <w:sz w:val="26"/>
          <w:szCs w:val="26"/>
        </w:rPr>
      </w:pPr>
      <w:r w:rsidRPr="00DC14FD">
        <w:rPr>
          <w:sz w:val="26"/>
          <w:szCs w:val="26"/>
        </w:rPr>
        <w:t>     Tham gia đầy đủ các kì họp của Ban nữ công, tích cực tham gia ý kiến xây dựng nội dung chương trình công tác nữ của nhà trường.</w:t>
      </w:r>
    </w:p>
    <w:p w:rsidR="006400A0" w:rsidRPr="00DC14FD" w:rsidRDefault="006400A0" w:rsidP="006400A0">
      <w:pPr>
        <w:spacing w:before="120" w:after="120"/>
        <w:rPr>
          <w:sz w:val="26"/>
          <w:szCs w:val="26"/>
        </w:rPr>
      </w:pPr>
      <w:r w:rsidRPr="00DC14FD">
        <w:rPr>
          <w:sz w:val="26"/>
          <w:szCs w:val="26"/>
        </w:rPr>
        <w:t>    Điều 9: Đề xuất các ý kiến về những vấn đề có liên quan đến nữ CB, GV, NV lên BCH Công đoàn, nhà trường theo qui định của Luật công đoàn và Điều lệ Công đoàn Việt Nam.</w:t>
      </w:r>
    </w:p>
    <w:p w:rsidR="006400A0" w:rsidRPr="00DC14FD" w:rsidRDefault="006400A0" w:rsidP="006400A0">
      <w:pPr>
        <w:spacing w:before="120" w:after="120"/>
        <w:rPr>
          <w:sz w:val="26"/>
          <w:szCs w:val="26"/>
        </w:rPr>
      </w:pPr>
      <w:r w:rsidRPr="00DC14FD">
        <w:rPr>
          <w:sz w:val="26"/>
          <w:szCs w:val="26"/>
        </w:rPr>
        <w:t>   Điều 10: Được cung cấp các tài liệu, thông tin cần thiết phục vụ cho công tác nữ công theo điều kiện của công đoàn nhà trường.</w:t>
      </w:r>
    </w:p>
    <w:p w:rsidR="006400A0" w:rsidRPr="00DC14FD" w:rsidRDefault="006400A0" w:rsidP="006400A0">
      <w:pPr>
        <w:spacing w:before="120" w:after="120"/>
        <w:jc w:val="center"/>
        <w:rPr>
          <w:b/>
          <w:sz w:val="26"/>
          <w:szCs w:val="26"/>
        </w:rPr>
      </w:pPr>
      <w:r w:rsidRPr="00DC14FD">
        <w:rPr>
          <w:b/>
          <w:sz w:val="26"/>
          <w:szCs w:val="26"/>
        </w:rPr>
        <w:t>Chương III</w:t>
      </w:r>
    </w:p>
    <w:p w:rsidR="006400A0" w:rsidRPr="00DC14FD" w:rsidRDefault="006400A0" w:rsidP="006400A0">
      <w:pPr>
        <w:spacing w:before="120" w:after="120"/>
        <w:jc w:val="center"/>
        <w:rPr>
          <w:b/>
          <w:sz w:val="26"/>
          <w:szCs w:val="26"/>
        </w:rPr>
      </w:pPr>
      <w:r w:rsidRPr="00DC14FD">
        <w:rPr>
          <w:b/>
          <w:sz w:val="26"/>
          <w:szCs w:val="26"/>
        </w:rPr>
        <w:t>NGUYÊN TẮC VÀ CHẾ ĐỘ LÀM VIỆC</w:t>
      </w:r>
    </w:p>
    <w:p w:rsidR="006400A0" w:rsidRPr="00DC14FD" w:rsidRDefault="006400A0" w:rsidP="006400A0">
      <w:pPr>
        <w:spacing w:before="120" w:after="120"/>
        <w:rPr>
          <w:sz w:val="26"/>
          <w:szCs w:val="26"/>
        </w:rPr>
      </w:pPr>
      <w:r w:rsidRPr="00DC14FD">
        <w:rPr>
          <w:sz w:val="26"/>
          <w:szCs w:val="26"/>
        </w:rPr>
        <w:t>    Điều 11: Ban nữ công làm việc theo nguyên tắc tập trung dân chủ. Mọi hoạt động của Ban nữ công đều được tiến hành công khai, dân chủ, kế hoạch hoạt động của Ban nữ công được thảo luận và quyết định theo đa số, cấp dưới phục tùng cấp trên, cá nhân phục tùng tổ chức.</w:t>
      </w:r>
    </w:p>
    <w:p w:rsidR="006400A0" w:rsidRPr="00DC14FD" w:rsidRDefault="006400A0" w:rsidP="006400A0">
      <w:pPr>
        <w:spacing w:before="120" w:after="120"/>
        <w:rPr>
          <w:sz w:val="26"/>
          <w:szCs w:val="26"/>
        </w:rPr>
      </w:pPr>
      <w:r w:rsidRPr="00DC14FD">
        <w:rPr>
          <w:sz w:val="26"/>
          <w:szCs w:val="26"/>
        </w:rPr>
        <w:t>   Điều 12: Ban nữ công họp mỗi tháng 1 lần, chú trọng tổ chức sinh hoạt nhân ngày kỷ niệm riêng của nữ giới.</w:t>
      </w:r>
    </w:p>
    <w:p w:rsidR="006400A0" w:rsidRPr="00DC14FD" w:rsidRDefault="006400A0" w:rsidP="006400A0">
      <w:pPr>
        <w:spacing w:before="120" w:after="120"/>
        <w:jc w:val="center"/>
        <w:rPr>
          <w:b/>
          <w:sz w:val="28"/>
          <w:szCs w:val="26"/>
        </w:rPr>
      </w:pPr>
      <w:r w:rsidRPr="00DC14FD">
        <w:rPr>
          <w:b/>
          <w:sz w:val="28"/>
          <w:szCs w:val="26"/>
        </w:rPr>
        <w:t>Chương IV</w:t>
      </w:r>
    </w:p>
    <w:p w:rsidR="006400A0" w:rsidRPr="00DC14FD" w:rsidRDefault="006400A0" w:rsidP="006400A0">
      <w:pPr>
        <w:spacing w:before="120" w:after="120"/>
        <w:jc w:val="center"/>
        <w:rPr>
          <w:b/>
          <w:sz w:val="28"/>
          <w:szCs w:val="26"/>
        </w:rPr>
      </w:pPr>
      <w:r w:rsidRPr="00DC14FD">
        <w:rPr>
          <w:b/>
          <w:sz w:val="28"/>
          <w:szCs w:val="26"/>
        </w:rPr>
        <w:t>TỔ CHỨC THỰC HIỆN</w:t>
      </w:r>
    </w:p>
    <w:p w:rsidR="006400A0" w:rsidRPr="00DC14FD" w:rsidRDefault="006400A0" w:rsidP="006400A0">
      <w:pPr>
        <w:spacing w:before="120" w:after="120"/>
        <w:rPr>
          <w:sz w:val="26"/>
          <w:szCs w:val="26"/>
        </w:rPr>
      </w:pPr>
      <w:r w:rsidRPr="00DC14FD">
        <w:rPr>
          <w:sz w:val="26"/>
          <w:szCs w:val="26"/>
        </w:rPr>
        <w:t> </w:t>
      </w:r>
    </w:p>
    <w:p w:rsidR="006400A0" w:rsidRPr="00DC14FD" w:rsidRDefault="006400A0" w:rsidP="006400A0">
      <w:pPr>
        <w:spacing w:before="120" w:after="120"/>
        <w:rPr>
          <w:sz w:val="26"/>
          <w:szCs w:val="26"/>
        </w:rPr>
      </w:pPr>
      <w:r w:rsidRPr="00DC14FD">
        <w:rPr>
          <w:sz w:val="26"/>
          <w:szCs w:val="26"/>
        </w:rPr>
        <w:t>   Điều 13: Ban nữ công Công đoàn trường THCS Bưng Riềng có trách nhiệm thực hiện theo quy chế này.</w:t>
      </w:r>
    </w:p>
    <w:p w:rsidR="006400A0" w:rsidRPr="00DC14FD" w:rsidRDefault="006400A0" w:rsidP="006400A0">
      <w:pPr>
        <w:spacing w:before="120" w:after="120"/>
        <w:rPr>
          <w:sz w:val="26"/>
          <w:szCs w:val="26"/>
        </w:rPr>
      </w:pPr>
      <w:r w:rsidRPr="00DC14FD">
        <w:rPr>
          <w:sz w:val="26"/>
          <w:szCs w:val="26"/>
        </w:rPr>
        <w:t>  Điều 14: Quy chế này có hiệu lực kể từ ngày ký.</w:t>
      </w:r>
    </w:p>
    <w:p w:rsidR="006400A0" w:rsidRPr="00DC14FD" w:rsidRDefault="006400A0" w:rsidP="006400A0">
      <w:pPr>
        <w:spacing w:before="120" w:after="120"/>
        <w:rPr>
          <w:sz w:val="26"/>
          <w:szCs w:val="26"/>
        </w:rPr>
      </w:pPr>
      <w:r w:rsidRPr="00DC14FD">
        <w:rPr>
          <w:sz w:val="26"/>
          <w:szCs w:val="26"/>
        </w:rPr>
        <w:t>    </w:t>
      </w:r>
    </w:p>
    <w:p w:rsidR="006400A0" w:rsidRPr="00DC14FD" w:rsidRDefault="006400A0" w:rsidP="006400A0">
      <w:pPr>
        <w:spacing w:before="120" w:after="120"/>
        <w:rPr>
          <w:sz w:val="26"/>
          <w:szCs w:val="26"/>
        </w:rPr>
      </w:pPr>
      <w:r w:rsidRPr="00DC14FD">
        <w:rPr>
          <w:sz w:val="26"/>
          <w:szCs w:val="26"/>
        </w:rPr>
        <w:t>     Những nội dung, điều khoản trong quy chế sẽ được BCH Công đoàn sửa đổi, bổ sung hàng năm cho phù hợp với tình hình thực tế để thực hiện.</w:t>
      </w:r>
    </w:p>
    <w:p w:rsidR="006400A0" w:rsidRPr="00DC14FD" w:rsidRDefault="006400A0" w:rsidP="006400A0">
      <w:pPr>
        <w:spacing w:before="120" w:after="120"/>
        <w:rPr>
          <w:sz w:val="26"/>
          <w:szCs w:val="26"/>
        </w:rPr>
      </w:pPr>
      <w:r w:rsidRPr="00DC14FD">
        <w:rPr>
          <w:sz w:val="26"/>
          <w:szCs w:val="26"/>
        </w:rPr>
        <w:t> </w:t>
      </w:r>
    </w:p>
    <w:p w:rsidR="006400A0" w:rsidRPr="00363403" w:rsidRDefault="006400A0" w:rsidP="006400A0">
      <w:pPr>
        <w:pStyle w:val="NormalWeb"/>
        <w:spacing w:before="0" w:beforeAutospacing="0" w:after="0" w:afterAutospacing="0"/>
        <w:rPr>
          <w:sz w:val="26"/>
          <w:szCs w:val="26"/>
          <w:bdr w:val="none" w:sz="0" w:space="0" w:color="auto" w:frame="1"/>
          <w:shd w:val="clear" w:color="auto" w:fill="F8F8F8"/>
        </w:rPr>
      </w:pPr>
      <w:r w:rsidRPr="00363403">
        <w:rPr>
          <w:sz w:val="26"/>
          <w:szCs w:val="26"/>
          <w:bdr w:val="none" w:sz="0" w:space="0" w:color="auto" w:frame="1"/>
          <w:shd w:val="clear" w:color="auto" w:fill="F8F8F8"/>
        </w:rPr>
        <w:t> </w:t>
      </w:r>
    </w:p>
    <w:tbl>
      <w:tblPr>
        <w:tblW w:w="5000" w:type="pct"/>
        <w:tblCellMar>
          <w:left w:w="0" w:type="dxa"/>
          <w:right w:w="0" w:type="dxa"/>
        </w:tblCellMar>
        <w:tblLook w:val="04A0" w:firstRow="1" w:lastRow="0" w:firstColumn="1" w:lastColumn="0" w:noHBand="0" w:noVBand="1"/>
      </w:tblPr>
      <w:tblGrid>
        <w:gridCol w:w="5316"/>
        <w:gridCol w:w="5316"/>
      </w:tblGrid>
      <w:tr w:rsidR="006400A0" w:rsidRPr="00363403" w:rsidTr="00296B1C">
        <w:tc>
          <w:tcPr>
            <w:tcW w:w="2500" w:type="pct"/>
            <w:hideMark/>
          </w:tcPr>
          <w:p w:rsidR="006400A0" w:rsidRPr="00363403" w:rsidRDefault="006400A0" w:rsidP="00296B1C">
            <w:pPr>
              <w:pStyle w:val="NormalWeb"/>
              <w:spacing w:before="0" w:beforeAutospacing="0" w:after="0" w:afterAutospacing="0"/>
              <w:rPr>
                <w:sz w:val="26"/>
                <w:szCs w:val="26"/>
              </w:rPr>
            </w:pPr>
            <w:r w:rsidRPr="00363403">
              <w:rPr>
                <w:sz w:val="26"/>
                <w:szCs w:val="26"/>
              </w:rPr>
              <w:t> </w:t>
            </w:r>
          </w:p>
        </w:tc>
        <w:tc>
          <w:tcPr>
            <w:tcW w:w="2500" w:type="pct"/>
            <w:hideMark/>
          </w:tcPr>
          <w:p w:rsidR="006400A0" w:rsidRPr="00363403" w:rsidRDefault="006400A0" w:rsidP="00296B1C">
            <w:pPr>
              <w:pStyle w:val="NormalWeb"/>
              <w:spacing w:before="0" w:beforeAutospacing="0" w:after="0" w:afterAutospacing="0"/>
              <w:jc w:val="center"/>
              <w:rPr>
                <w:sz w:val="26"/>
                <w:szCs w:val="26"/>
              </w:rPr>
            </w:pPr>
            <w:r w:rsidRPr="00363403">
              <w:rPr>
                <w:rStyle w:val="Strong"/>
                <w:sz w:val="26"/>
                <w:szCs w:val="26"/>
                <w:bdr w:val="none" w:sz="0" w:space="0" w:color="auto" w:frame="1"/>
              </w:rPr>
              <w:t>TM BCH</w:t>
            </w:r>
          </w:p>
          <w:p w:rsidR="006400A0" w:rsidRPr="00363403" w:rsidRDefault="006400A0" w:rsidP="00296B1C">
            <w:pPr>
              <w:pStyle w:val="NormalWeb"/>
              <w:spacing w:before="0" w:beforeAutospacing="0" w:after="0" w:afterAutospacing="0"/>
              <w:jc w:val="center"/>
              <w:rPr>
                <w:sz w:val="26"/>
                <w:szCs w:val="26"/>
              </w:rPr>
            </w:pPr>
            <w:r w:rsidRPr="00363403">
              <w:rPr>
                <w:rStyle w:val="Strong"/>
                <w:sz w:val="26"/>
                <w:szCs w:val="26"/>
                <w:bdr w:val="none" w:sz="0" w:space="0" w:color="auto" w:frame="1"/>
              </w:rPr>
              <w:t>CHỦ TỊCH</w:t>
            </w:r>
          </w:p>
          <w:p w:rsidR="006400A0" w:rsidRPr="00363403" w:rsidRDefault="006400A0" w:rsidP="00296B1C">
            <w:pPr>
              <w:pStyle w:val="NormalWeb"/>
              <w:spacing w:before="0" w:beforeAutospacing="0" w:after="0" w:afterAutospacing="0"/>
              <w:jc w:val="center"/>
              <w:rPr>
                <w:sz w:val="26"/>
                <w:szCs w:val="26"/>
              </w:rPr>
            </w:pPr>
            <w:r w:rsidRPr="00363403">
              <w:rPr>
                <w:rStyle w:val="Strong"/>
                <w:sz w:val="26"/>
                <w:szCs w:val="26"/>
                <w:bdr w:val="none" w:sz="0" w:space="0" w:color="auto" w:frame="1"/>
              </w:rPr>
              <w:t> </w:t>
            </w:r>
          </w:p>
          <w:p w:rsidR="006400A0" w:rsidRPr="00363403" w:rsidRDefault="006400A0" w:rsidP="00296B1C">
            <w:pPr>
              <w:pStyle w:val="NormalWeb"/>
              <w:spacing w:before="0" w:beforeAutospacing="0" w:after="0" w:afterAutospacing="0"/>
              <w:jc w:val="center"/>
              <w:rPr>
                <w:sz w:val="26"/>
                <w:szCs w:val="26"/>
              </w:rPr>
            </w:pPr>
            <w:r w:rsidRPr="00363403">
              <w:rPr>
                <w:rStyle w:val="Strong"/>
                <w:sz w:val="26"/>
                <w:szCs w:val="26"/>
                <w:bdr w:val="none" w:sz="0" w:space="0" w:color="auto" w:frame="1"/>
              </w:rPr>
              <w:t> </w:t>
            </w:r>
          </w:p>
          <w:p w:rsidR="006400A0" w:rsidRPr="00363403" w:rsidRDefault="006400A0" w:rsidP="00296B1C">
            <w:pPr>
              <w:pStyle w:val="NormalWeb"/>
              <w:spacing w:before="0" w:beforeAutospacing="0" w:after="0" w:afterAutospacing="0"/>
              <w:jc w:val="center"/>
              <w:rPr>
                <w:sz w:val="26"/>
                <w:szCs w:val="26"/>
              </w:rPr>
            </w:pPr>
            <w:r w:rsidRPr="00363403">
              <w:rPr>
                <w:rStyle w:val="Strong"/>
                <w:sz w:val="26"/>
                <w:szCs w:val="26"/>
                <w:bdr w:val="none" w:sz="0" w:space="0" w:color="auto" w:frame="1"/>
              </w:rPr>
              <w:t> </w:t>
            </w:r>
          </w:p>
          <w:p w:rsidR="006400A0" w:rsidRPr="00363403" w:rsidRDefault="006400A0" w:rsidP="00296B1C">
            <w:pPr>
              <w:pStyle w:val="NormalWeb"/>
              <w:spacing w:before="0" w:beforeAutospacing="0" w:after="0" w:afterAutospacing="0"/>
              <w:jc w:val="center"/>
              <w:rPr>
                <w:rStyle w:val="Strong"/>
                <w:sz w:val="26"/>
                <w:szCs w:val="26"/>
                <w:bdr w:val="none" w:sz="0" w:space="0" w:color="auto" w:frame="1"/>
              </w:rPr>
            </w:pPr>
            <w:r w:rsidRPr="00363403">
              <w:rPr>
                <w:rStyle w:val="Strong"/>
                <w:sz w:val="26"/>
                <w:szCs w:val="26"/>
                <w:bdr w:val="none" w:sz="0" w:space="0" w:color="auto" w:frame="1"/>
              </w:rPr>
              <w:t> </w:t>
            </w:r>
          </w:p>
          <w:p w:rsidR="006400A0" w:rsidRPr="00363403" w:rsidRDefault="006400A0" w:rsidP="00296B1C">
            <w:pPr>
              <w:pStyle w:val="NormalWeb"/>
              <w:spacing w:before="0" w:beforeAutospacing="0" w:after="0" w:afterAutospacing="0"/>
              <w:jc w:val="center"/>
              <w:rPr>
                <w:sz w:val="26"/>
                <w:szCs w:val="26"/>
              </w:rPr>
            </w:pPr>
            <w:r>
              <w:rPr>
                <w:rStyle w:val="Strong"/>
                <w:sz w:val="26"/>
                <w:szCs w:val="26"/>
                <w:bdr w:val="none" w:sz="0" w:space="0" w:color="auto" w:frame="1"/>
              </w:rPr>
              <w:t xml:space="preserve">     </w:t>
            </w:r>
            <w:r w:rsidRPr="00363403">
              <w:rPr>
                <w:rStyle w:val="Strong"/>
                <w:sz w:val="26"/>
                <w:szCs w:val="26"/>
                <w:bdr w:val="none" w:sz="0" w:space="0" w:color="auto" w:frame="1"/>
              </w:rPr>
              <w:t>NGÔ THỊ NHIỆM</w:t>
            </w:r>
          </w:p>
        </w:tc>
      </w:tr>
    </w:tbl>
    <w:p w:rsidR="00AC502F" w:rsidRDefault="00AC502F"/>
    <w:sectPr w:rsidR="00AC502F" w:rsidSect="006400A0">
      <w:pgSz w:w="12240" w:h="15840"/>
      <w:pgMar w:top="851" w:right="47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A0"/>
    <w:rsid w:val="006400A0"/>
    <w:rsid w:val="00AC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00A0"/>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6400A0"/>
    <w:rPr>
      <w:b/>
      <w:bCs/>
    </w:rPr>
  </w:style>
  <w:style w:type="paragraph" w:customStyle="1" w:styleId="noidungtin">
    <w:name w:val="noidungtin"/>
    <w:basedOn w:val="Normal"/>
    <w:rsid w:val="006400A0"/>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00A0"/>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6400A0"/>
    <w:rPr>
      <w:b/>
      <w:bCs/>
    </w:rPr>
  </w:style>
  <w:style w:type="paragraph" w:customStyle="1" w:styleId="noidungtin">
    <w:name w:val="noidungtin"/>
    <w:basedOn w:val="Normal"/>
    <w:rsid w:val="006400A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2018-05-02T03:14:00Z</dcterms:created>
  <dcterms:modified xsi:type="dcterms:W3CDTF">2018-05-02T03:15:00Z</dcterms:modified>
</cp:coreProperties>
</file>